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FC6" w:rsidRDefault="00D473E1">
      <w:pPr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  </w:t>
      </w:r>
    </w:p>
    <w:p w:rsidR="00382FC6" w:rsidRDefault="00D473E1">
      <w:pPr>
        <w:keepNext/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FORMULARZ ASORTYMENTOWO – CENOWY</w:t>
      </w:r>
    </w:p>
    <w:p w:rsidR="00382FC6" w:rsidRDefault="00671823">
      <w:pPr>
        <w:pStyle w:val="Nagwek2"/>
        <w:numPr>
          <w:ilvl w:val="1"/>
          <w:numId w:val="2"/>
        </w:numPr>
        <w:jc w:val="right"/>
      </w:pPr>
      <w:r>
        <w:t>Załącznik 3.2 do S</w:t>
      </w:r>
      <w:r w:rsidR="00D473E1">
        <w:t>WZ</w:t>
      </w:r>
    </w:p>
    <w:p w:rsidR="00382FC6" w:rsidRDefault="00D473E1">
      <w:pPr>
        <w:pStyle w:val="Nagwek2"/>
        <w:numPr>
          <w:ilvl w:val="1"/>
          <w:numId w:val="2"/>
        </w:numPr>
      </w:pPr>
      <w:r>
        <w:rPr>
          <w:sz w:val="22"/>
        </w:rPr>
        <w:t>ZADANIE NR 2</w:t>
      </w:r>
    </w:p>
    <w:p w:rsidR="00382FC6" w:rsidRDefault="00382FC6">
      <w:pPr>
        <w:rPr>
          <w:b/>
          <w:sz w:val="22"/>
        </w:rPr>
      </w:pPr>
    </w:p>
    <w:p w:rsidR="003E7910" w:rsidRPr="003E7910" w:rsidRDefault="00D473E1" w:rsidP="003E7910">
      <w:pPr>
        <w:rPr>
          <w:b/>
          <w:bCs/>
        </w:rPr>
      </w:pPr>
      <w:r>
        <w:rPr>
          <w:b/>
        </w:rPr>
        <w:t>Odczynniki  do analizator</w:t>
      </w:r>
      <w:r w:rsidR="004671FA">
        <w:rPr>
          <w:b/>
        </w:rPr>
        <w:t>ów</w:t>
      </w:r>
      <w:r>
        <w:rPr>
          <w:b/>
        </w:rPr>
        <w:t xml:space="preserve">   </w:t>
      </w:r>
      <w:r w:rsidR="004671FA">
        <w:rPr>
          <w:b/>
          <w:bCs/>
        </w:rPr>
        <w:t>wraz z najmem analizatorów</w:t>
      </w:r>
      <w:r w:rsidR="003E7910" w:rsidRPr="003E7910">
        <w:rPr>
          <w:b/>
          <w:bCs/>
        </w:rPr>
        <w:t xml:space="preserve"> biochemiczn</w:t>
      </w:r>
      <w:r w:rsidR="004671FA">
        <w:rPr>
          <w:b/>
          <w:bCs/>
        </w:rPr>
        <w:t>ych</w:t>
      </w:r>
      <w:r w:rsidR="003E7910" w:rsidRPr="003E7910">
        <w:rPr>
          <w:b/>
          <w:bCs/>
        </w:rPr>
        <w:t xml:space="preserve"> </w:t>
      </w:r>
      <w:r w:rsidR="004671FA">
        <w:rPr>
          <w:b/>
          <w:bCs/>
        </w:rPr>
        <w:t>z wyposażeniem</w:t>
      </w:r>
      <w:r w:rsidR="003E7910" w:rsidRPr="003E7910">
        <w:rPr>
          <w:b/>
          <w:bCs/>
        </w:rPr>
        <w:t xml:space="preserve">                   </w:t>
      </w:r>
    </w:p>
    <w:p w:rsidR="00485ABB" w:rsidRPr="00485ABB" w:rsidRDefault="00485ABB" w:rsidP="00485ABB">
      <w:r>
        <w:rPr>
          <w:b/>
        </w:rPr>
        <w:t xml:space="preserve">        </w:t>
      </w:r>
      <w:r>
        <w:rPr>
          <w:rFonts w:cs="Times New Roman"/>
          <w:b/>
        </w:rPr>
        <w:t xml:space="preserve">                                                   </w:t>
      </w:r>
    </w:p>
    <w:tbl>
      <w:tblPr>
        <w:tblW w:w="14420" w:type="dxa"/>
        <w:tblInd w:w="-1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"/>
        <w:gridCol w:w="3827"/>
        <w:gridCol w:w="838"/>
        <w:gridCol w:w="1172"/>
        <w:gridCol w:w="1134"/>
        <w:gridCol w:w="865"/>
        <w:gridCol w:w="1061"/>
        <w:gridCol w:w="982"/>
        <w:gridCol w:w="1196"/>
        <w:gridCol w:w="788"/>
        <w:gridCol w:w="992"/>
        <w:gridCol w:w="1082"/>
        <w:gridCol w:w="76"/>
        <w:gridCol w:w="34"/>
      </w:tblGrid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Nazwa odczynnika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Jednostka miary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na 24 m-ce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Wielkość op.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Ilość </w:t>
            </w:r>
            <w:proofErr w:type="spellStart"/>
            <w:r>
              <w:rPr>
                <w:sz w:val="21"/>
                <w:szCs w:val="21"/>
              </w:rPr>
              <w:t>op</w:t>
            </w:r>
            <w:proofErr w:type="spellEnd"/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Cena op. netto</w:t>
            </w: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 netto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 VAT %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 brutto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Numer katalogowy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Producent</w:t>
            </w: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Aminotransferaza alaninowa met. bez fosforanu </w:t>
            </w:r>
            <w:proofErr w:type="spellStart"/>
            <w:r>
              <w:rPr>
                <w:sz w:val="21"/>
                <w:szCs w:val="21"/>
              </w:rPr>
              <w:t>pirydoksalu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Aminotransferaza asparaginowa met. bez fosforanu </w:t>
            </w:r>
            <w:proofErr w:type="spellStart"/>
            <w:r>
              <w:rPr>
                <w:sz w:val="21"/>
                <w:szCs w:val="21"/>
              </w:rPr>
              <w:t>pirydoksalu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Amylaza w moczu i surowicy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Fosfataza alkaliczna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Mikroalbumina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Gamma </w:t>
            </w:r>
            <w:proofErr w:type="spellStart"/>
            <w:r>
              <w:rPr>
                <w:sz w:val="21"/>
                <w:szCs w:val="21"/>
              </w:rPr>
              <w:t>glutamylotransferaza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Kinaza </w:t>
            </w:r>
            <w:proofErr w:type="spellStart"/>
            <w:r>
              <w:rPr>
                <w:sz w:val="21"/>
                <w:szCs w:val="21"/>
              </w:rPr>
              <w:t>kreatynowa</w:t>
            </w:r>
            <w:proofErr w:type="spellEnd"/>
            <w:r>
              <w:rPr>
                <w:sz w:val="21"/>
                <w:szCs w:val="21"/>
              </w:rPr>
              <w:t xml:space="preserve"> CK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Albumina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Białko całkowite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Bilirubina całkowita met. wanadowa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Cholesterol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Cholesterol HDL met. bezpośrednia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Triglicerydy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Glukoza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38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Glukoza(</w:t>
            </w:r>
            <w:proofErr w:type="spellStart"/>
            <w:r>
              <w:rPr>
                <w:sz w:val="21"/>
                <w:szCs w:val="21"/>
              </w:rPr>
              <w:t>hex</w:t>
            </w:r>
            <w:proofErr w:type="spellEnd"/>
            <w:r>
              <w:rPr>
                <w:sz w:val="21"/>
                <w:szCs w:val="21"/>
              </w:rPr>
              <w:t>)</w:t>
            </w:r>
          </w:p>
        </w:tc>
        <w:tc>
          <w:tcPr>
            <w:tcW w:w="8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Kreatynina w moczu i </w:t>
            </w:r>
            <w:proofErr w:type="spellStart"/>
            <w:r>
              <w:rPr>
                <w:sz w:val="21"/>
                <w:szCs w:val="21"/>
              </w:rPr>
              <w:t>surow.met.enzymat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Kwas moczowy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Mocznik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Fosfor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Magnez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Wapń met. </w:t>
            </w:r>
            <w:proofErr w:type="spellStart"/>
            <w:r>
              <w:rPr>
                <w:sz w:val="21"/>
                <w:szCs w:val="21"/>
              </w:rPr>
              <w:t>arsenazo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5 500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Żelazo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Anty-streptolizyna O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Białko C-reaktywne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RF ilościowo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ozn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Białko w moczu i PMR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ozn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26.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Ethanol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Ozn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Lipaza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ozn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2 500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tabs>
                <w:tab w:val="left" w:pos="72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HbAlc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ozn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4 500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tabs>
                <w:tab w:val="left" w:pos="720"/>
              </w:tabs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LDH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ozn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tabs>
                <w:tab w:val="left" w:pos="720"/>
              </w:tabs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Lipoproteina</w:t>
            </w:r>
            <w:proofErr w:type="spellEnd"/>
            <w:r>
              <w:rPr>
                <w:sz w:val="21"/>
                <w:szCs w:val="21"/>
              </w:rPr>
              <w:t>(a)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tabs>
                <w:tab w:val="left" w:pos="720"/>
              </w:tabs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Multikalibrator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 xml:space="preserve"> biochemiczny ludzki, poziom normalny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wg wykonawcy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Multikalibrator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 xml:space="preserve"> biochemiczny ludzki, poziom patologiczny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Kalibrator HDL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Kalibrator ASO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Kalibrator CRP ULTRA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Kalibrator  HbA1c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 xml:space="preserve">Kalibrator </w:t>
            </w: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Ethanol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Kalibrator RF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j.w</w:t>
            </w:r>
            <w:proofErr w:type="spellEnd"/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Kalibrator </w:t>
            </w:r>
            <w:proofErr w:type="spellStart"/>
            <w:r>
              <w:rPr>
                <w:sz w:val="21"/>
                <w:szCs w:val="21"/>
              </w:rPr>
              <w:t>Mikroalbumina</w:t>
            </w:r>
            <w:proofErr w:type="spellEnd"/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Kalibrator Białko w moczu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Kalibrator </w:t>
            </w:r>
            <w:proofErr w:type="spellStart"/>
            <w:r>
              <w:rPr>
                <w:sz w:val="21"/>
                <w:szCs w:val="21"/>
              </w:rPr>
              <w:t>Lipoproteina</w:t>
            </w:r>
            <w:proofErr w:type="spellEnd"/>
            <w:r>
              <w:rPr>
                <w:sz w:val="21"/>
                <w:szCs w:val="21"/>
              </w:rPr>
              <w:t>(a)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op.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Surowica kontrolna biochemiczna ludzka, poziom normalny*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Surowica kontrolna biochemiczna ludzka, poziom patologiczny*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Kontrola białka w moczu ,poziom patologiczny*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Kontrola białka w moczu ,poziom normalny*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ml.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Kontrola </w:t>
            </w:r>
            <w:proofErr w:type="spellStart"/>
            <w:r>
              <w:rPr>
                <w:sz w:val="21"/>
                <w:szCs w:val="21"/>
              </w:rPr>
              <w:t>mikroalbumina</w:t>
            </w:r>
            <w:proofErr w:type="spellEnd"/>
            <w:r>
              <w:rPr>
                <w:sz w:val="21"/>
                <w:szCs w:val="21"/>
              </w:rPr>
              <w:t>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ml.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Kontrola </w:t>
            </w:r>
            <w:proofErr w:type="spellStart"/>
            <w:r>
              <w:rPr>
                <w:sz w:val="21"/>
                <w:szCs w:val="21"/>
              </w:rPr>
              <w:t>lipoproteina</w:t>
            </w:r>
            <w:proofErr w:type="spellEnd"/>
            <w:r>
              <w:rPr>
                <w:sz w:val="21"/>
                <w:szCs w:val="21"/>
              </w:rPr>
              <w:t>(a) poziom normalny**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ml.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Kontrola </w:t>
            </w:r>
            <w:proofErr w:type="spellStart"/>
            <w:r>
              <w:rPr>
                <w:sz w:val="21"/>
                <w:szCs w:val="21"/>
              </w:rPr>
              <w:t>lipoproteina</w:t>
            </w:r>
            <w:proofErr w:type="spellEnd"/>
            <w:r>
              <w:rPr>
                <w:sz w:val="21"/>
                <w:szCs w:val="21"/>
              </w:rPr>
              <w:t>(a) poziom patologiczny**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ml.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Kontrola  proteinowa na dwóch poziomach**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 xml:space="preserve">Kontrola </w:t>
            </w:r>
            <w:proofErr w:type="spellStart"/>
            <w:r>
              <w:rPr>
                <w:rFonts w:cs="Arial"/>
                <w:color w:val="000000"/>
                <w:sz w:val="21"/>
                <w:szCs w:val="21"/>
              </w:rPr>
              <w:t>Ethanol</w:t>
            </w:r>
            <w:proofErr w:type="spellEnd"/>
            <w:r>
              <w:rPr>
                <w:rFonts w:cs="Arial"/>
                <w:color w:val="000000"/>
                <w:sz w:val="21"/>
                <w:szCs w:val="21"/>
              </w:rPr>
              <w:t xml:space="preserve"> 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Kontrola HbA1c, poziom normalny**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Kontrola HbA1c, poziom patologiczny**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ml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 xml:space="preserve">Inne odczynniki /materiały zużywalne  w </w:t>
            </w:r>
            <w:r>
              <w:rPr>
                <w:rFonts w:cs="Arial"/>
                <w:color w:val="000000"/>
                <w:sz w:val="21"/>
                <w:szCs w:val="21"/>
              </w:rPr>
              <w:lastRenderedPageBreak/>
              <w:t>ilościach odpowiadających w/w ilości oznaczeń (uzupełnia wykonawca)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Dzierżawa analizatora głównego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miesiąc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  <w:r>
              <w:rPr>
                <w:rFonts w:cs="Arial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Lodówka do przechowywania odczynników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szt</w:t>
            </w:r>
            <w:proofErr w:type="spellEnd"/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3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Jednostka miary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na 24 m-ce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Wielkość op.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Ilość </w:t>
            </w:r>
            <w:proofErr w:type="spellStart"/>
            <w:r>
              <w:rPr>
                <w:sz w:val="21"/>
                <w:szCs w:val="21"/>
              </w:rPr>
              <w:t>op</w:t>
            </w:r>
            <w:proofErr w:type="spellEnd"/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Cena op. netto</w:t>
            </w: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 netto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Stawka VAT %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Wartość brutto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Numer katalogowy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Materiały zużywalne do analizatora zapasowego – przewidywana ilość oznaczeń   50 000 (uzupełnia wykonawca )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ozn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  <w:tr w:rsidR="00485ABB" w:rsidTr="00485ABB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Dzierżawa analizatora zapasowego</w:t>
            </w:r>
          </w:p>
        </w:tc>
        <w:tc>
          <w:tcPr>
            <w:tcW w:w="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miesiąc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5ABB" w:rsidRDefault="00485ABB" w:rsidP="00106D38">
            <w:pPr>
              <w:pStyle w:val="Standard"/>
              <w:snapToGrid w:val="0"/>
              <w:rPr>
                <w:sz w:val="21"/>
                <w:szCs w:val="21"/>
              </w:rPr>
            </w:pPr>
          </w:p>
        </w:tc>
      </w:tr>
    </w:tbl>
    <w:p w:rsidR="00485ABB" w:rsidRDefault="00485ABB" w:rsidP="00485ABB">
      <w:pPr>
        <w:pStyle w:val="Standard"/>
        <w:rPr>
          <w:b/>
          <w:bCs/>
          <w:sz w:val="21"/>
          <w:szCs w:val="21"/>
        </w:rPr>
      </w:pPr>
    </w:p>
    <w:p w:rsidR="00485ABB" w:rsidRDefault="00485ABB" w:rsidP="00485ABB">
      <w:pPr>
        <w:pStyle w:val="Standard"/>
        <w:rPr>
          <w:b/>
          <w:bCs/>
          <w:sz w:val="21"/>
          <w:szCs w:val="21"/>
        </w:rPr>
      </w:pPr>
    </w:p>
    <w:p w:rsidR="00485ABB" w:rsidRDefault="00485ABB" w:rsidP="00485ABB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>*   w ilości umożliwiającej wykonanie codziennej kontroli na dwu poziomach</w:t>
      </w:r>
    </w:p>
    <w:p w:rsidR="00485ABB" w:rsidRDefault="00485ABB" w:rsidP="00485ABB">
      <w:pPr>
        <w:pStyle w:val="Standard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** w ilości umożliwiającej wykonanie  kontroli  dwa razy w tygodniu</w:t>
      </w:r>
    </w:p>
    <w:p w:rsidR="00485ABB" w:rsidRDefault="00485ABB" w:rsidP="00485ABB">
      <w:pPr>
        <w:pStyle w:val="Standard"/>
        <w:rPr>
          <w:b/>
          <w:bCs/>
          <w:sz w:val="21"/>
          <w:szCs w:val="21"/>
        </w:rPr>
      </w:pPr>
    </w:p>
    <w:p w:rsidR="00485ABB" w:rsidRDefault="00485ABB" w:rsidP="00485ABB">
      <w:pPr>
        <w:pStyle w:val="Standard"/>
        <w:rPr>
          <w:sz w:val="21"/>
          <w:szCs w:val="21"/>
        </w:rPr>
      </w:pPr>
    </w:p>
    <w:p w:rsidR="00106D38" w:rsidRDefault="00106D38" w:rsidP="00106D38">
      <w:pPr>
        <w:pStyle w:val="Standard"/>
      </w:pPr>
      <w:r>
        <w:t xml:space="preserve">                                           ZESTAWIENIE  PARAMETRÓW GRANICZNYCH  DLA  ANALIZATORÓW BIOCHEMICZNYCH</w:t>
      </w:r>
    </w:p>
    <w:tbl>
      <w:tblPr>
        <w:tblW w:w="15045" w:type="dxa"/>
        <w:tblInd w:w="1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5955"/>
        <w:gridCol w:w="2550"/>
        <w:gridCol w:w="6030"/>
      </w:tblGrid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proofErr w:type="spellStart"/>
            <w:r>
              <w:t>Lp</w:t>
            </w:r>
            <w:proofErr w:type="spellEnd"/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rPr>
                <w:rFonts w:cs="Times New Roman"/>
              </w:rPr>
              <w:t xml:space="preserve"> </w:t>
            </w:r>
            <w:r>
              <w:t xml:space="preserve">Parametry  graniczne           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Warunek bezwzględnie konieczny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oferowanego parametru</w:t>
            </w:r>
          </w:p>
          <w:p w:rsidR="00106D38" w:rsidRDefault="00106D38" w:rsidP="00106D38">
            <w:pPr>
              <w:pStyle w:val="Standard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UWAGA:</w:t>
            </w:r>
          </w:p>
          <w:p w:rsidR="00106D38" w:rsidRDefault="00106D38" w:rsidP="00106D38">
            <w:pPr>
              <w:pStyle w:val="Standard"/>
            </w:pPr>
            <w:r>
              <w:rPr>
                <w:rFonts w:ascii="Arial" w:hAnsi="Arial" w:cs="Arial"/>
                <w:sz w:val="16"/>
                <w:szCs w:val="16"/>
              </w:rPr>
              <w:t xml:space="preserve">Przez </w:t>
            </w:r>
            <w:r>
              <w:rPr>
                <w:rFonts w:ascii="Arial" w:hAnsi="Arial" w:cs="Arial"/>
                <w:i/>
                <w:sz w:val="16"/>
                <w:szCs w:val="16"/>
              </w:rPr>
              <w:t>,,opis oferowanego parametru’</w:t>
            </w:r>
            <w:r>
              <w:rPr>
                <w:rFonts w:ascii="Arial" w:hAnsi="Arial" w:cs="Arial"/>
                <w:sz w:val="16"/>
                <w:szCs w:val="16"/>
              </w:rPr>
              <w:t xml:space="preserve">’, rozumie się wskazanie przez Wykonawcę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szczegółowego opisu odnoszącego się do konkretnie oferowanego parametru</w:t>
            </w:r>
            <w:r>
              <w:rPr>
                <w:rFonts w:ascii="Arial" w:hAnsi="Arial" w:cs="Arial"/>
                <w:sz w:val="16"/>
                <w:szCs w:val="16"/>
              </w:rPr>
              <w:t xml:space="preserve">, o zakresie treści odpowiadającym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co najmniej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zawartej w kolumnie pn. </w:t>
            </w:r>
            <w:r>
              <w:rPr>
                <w:rFonts w:ascii="Arial" w:hAnsi="Arial" w:cs="Arial"/>
                <w:i/>
                <w:sz w:val="16"/>
                <w:szCs w:val="16"/>
              </w:rPr>
              <w:t>,,opis parametrów minimalnych’</w:t>
            </w:r>
            <w:r>
              <w:rPr>
                <w:rFonts w:ascii="Arial" w:hAnsi="Arial" w:cs="Arial"/>
                <w:sz w:val="16"/>
                <w:szCs w:val="16"/>
              </w:rPr>
              <w:t>’.</w:t>
            </w:r>
          </w:p>
          <w:p w:rsidR="00106D38" w:rsidRDefault="00106D38" w:rsidP="00106D38">
            <w:pPr>
              <w:pStyle w:val="Standard"/>
            </w:pPr>
            <w:r>
              <w:rPr>
                <w:rFonts w:ascii="Arial" w:hAnsi="Arial" w:cs="Arial"/>
                <w:sz w:val="16"/>
                <w:szCs w:val="16"/>
              </w:rPr>
              <w:t xml:space="preserve">Dodatkowo, w pozycjach określonych w niniejszym załączniku Wykonawca zobowiązany jest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podać</w:t>
            </w:r>
            <w:r>
              <w:rPr>
                <w:rFonts w:ascii="Arial" w:hAnsi="Arial" w:cs="Arial"/>
                <w:sz w:val="16"/>
                <w:szCs w:val="16"/>
              </w:rPr>
              <w:t xml:space="preserve"> jednostkowy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zakres</w:t>
            </w:r>
            <w:r>
              <w:rPr>
                <w:rFonts w:ascii="Arial" w:hAnsi="Arial" w:cs="Arial"/>
                <w:sz w:val="16"/>
                <w:szCs w:val="16"/>
              </w:rPr>
              <w:t xml:space="preserve"> oferowanego parametru.</w:t>
            </w: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150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rPr>
                <w:b/>
              </w:rPr>
            </w:pPr>
            <w:r>
              <w:rPr>
                <w:b/>
              </w:rPr>
              <w:t>ZESTAWIENIE  PARAMETRÓW GRANICZNYCH  DLA  ANALIZATORÓW  BIOCHEMICZNYCH</w:t>
            </w: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 1.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W pełni automatyczne analizatory biochemiczne, główny nie starszy niż 2024 r, zapasowy nie starszy niż 2017r. każdy  typu wolnostojącego z oprogramowaniem w j. polskim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 2.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Analizatory o wydajności min 400 testów fotometrycznych / godz.  (bez  przystawki  ISE)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 xml:space="preserve">  3.</w:t>
            </w:r>
          </w:p>
          <w:p w:rsidR="00106D38" w:rsidRDefault="00106D38" w:rsidP="00106D38">
            <w:pPr>
              <w:pStyle w:val="Standard"/>
              <w:snapToGrid w:val="0"/>
              <w:jc w:val="center"/>
            </w:pP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Praca analizatorów w zakresie pomiarowym dł. fali : 340 – 800 </w:t>
            </w:r>
            <w:proofErr w:type="spellStart"/>
            <w:r>
              <w:t>nm</w:t>
            </w:r>
            <w:proofErr w:type="spellEnd"/>
            <w:r>
              <w:t xml:space="preserve"> – minimum 12 długości fali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  <w:jc w:val="center"/>
            </w:pPr>
            <w:r>
              <w:t>4.</w:t>
            </w:r>
          </w:p>
        </w:tc>
        <w:tc>
          <w:tcPr>
            <w:tcW w:w="59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Aparaty pracujące w oparciu o te same odczynniki</w:t>
            </w:r>
          </w:p>
        </w:tc>
        <w:tc>
          <w:tcPr>
            <w:tcW w:w="255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  <w:jc w:val="center"/>
            </w:pPr>
            <w:r>
              <w:t>5.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Źródło światła oparte na lampie </w:t>
            </w:r>
            <w:proofErr w:type="spellStart"/>
            <w:r>
              <w:t>halogenowo-wolframowej</w:t>
            </w:r>
            <w:proofErr w:type="spellEnd"/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 6.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Pełna automatyzacja wykonywanych badań do oznaczeń rutynowych i </w:t>
            </w:r>
            <w:proofErr w:type="spellStart"/>
            <w:r>
              <w:t>citowych</w:t>
            </w:r>
            <w:proofErr w:type="spellEnd"/>
            <w:r>
              <w:t xml:space="preserve"> w </w:t>
            </w:r>
            <w:proofErr w:type="spellStart"/>
            <w:r>
              <w:t>surowicy,osoczu</w:t>
            </w:r>
            <w:proofErr w:type="spellEnd"/>
            <w:r>
              <w:t xml:space="preserve">, moczu,  płynach </w:t>
            </w:r>
            <w:r>
              <w:lastRenderedPageBreak/>
              <w:t>ustrojowych ,</w:t>
            </w:r>
            <w:proofErr w:type="spellStart"/>
            <w:r>
              <w:t>hemolizatach</w:t>
            </w:r>
            <w:proofErr w:type="spellEnd"/>
            <w:r>
              <w:t xml:space="preserve"> krwi pełnej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lastRenderedPageBreak/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jc w:val="center"/>
            </w:pPr>
            <w:r>
              <w:t>7.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Możliwość wykonywania oznaczeń z próbek pediatrycznych (mikro) – objętość martwa próbki nie większa niż 50 µl – potwierdzenie  zapisem w instrukcji obsługi analizatora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jc w:val="center"/>
            </w:pPr>
            <w:r>
              <w:t>8.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Kuwety pomiarowe wielorazowego użytku myte w analizatorze, stabilizowane powietrzem, system monitorowania czystości kuwet w czasie rzeczywistym.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 9.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Analizatory wyposażone w stację mycia </w:t>
            </w:r>
            <w:proofErr w:type="spellStart"/>
            <w:r>
              <w:t>kuwet,automatyczne</w:t>
            </w:r>
            <w:proofErr w:type="spellEnd"/>
            <w:r>
              <w:t xml:space="preserve">  mycie gorącą wodą i detergentem, detekcja zanieczyszczonych kuwet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10.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Stacja uzdatniania wody o wydajności dostosowanej do ilości wody zużywanej przez oferowane analizatory, zużycie wody do 20 litrów/godzinę pracy każdy analizator.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11.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Wszystkie odczynniki chłodzone na pokładzie w temp 2-10°C niezależnie od temp. otoczenia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12.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Wszystkie odczynniki w opakowaniach umożliwiających wstawienie na pokład analizatora bez konieczności ich przelewania poza analizatorem.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13.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System odczynnikowy otwarty, umożliwiający stosowanie odczynników dowolnego producenta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14.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Jedna  niezależna igła odczynnikowa wyposażona w ochronę antykolizyjną, detektor poziomu cieczy z alarmem zasysania z pustej butelki, myta od wewnątrz i zewnątrz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15.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Jedna niezależna igła </w:t>
            </w:r>
            <w:proofErr w:type="spellStart"/>
            <w:r>
              <w:t>próbkowa</w:t>
            </w:r>
            <w:proofErr w:type="spellEnd"/>
            <w:r>
              <w:t xml:space="preserve"> wyposażona w detektor obecności skrzepu, kolizji w pionie i poziomie oraz detektor poziomu cieczy, myta od </w:t>
            </w:r>
            <w:proofErr w:type="spellStart"/>
            <w:r>
              <w:t>zewnatrz</w:t>
            </w:r>
            <w:proofErr w:type="spellEnd"/>
            <w:r>
              <w:t xml:space="preserve"> i </w:t>
            </w:r>
            <w:proofErr w:type="spellStart"/>
            <w:r>
              <w:t>wewnatrz</w:t>
            </w:r>
            <w:proofErr w:type="spellEnd"/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16.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Dwa niezależne mieszadła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17.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Minimum 90 pozycji </w:t>
            </w:r>
            <w:proofErr w:type="spellStart"/>
            <w:r>
              <w:t>próbkowych</w:t>
            </w:r>
            <w:proofErr w:type="spellEnd"/>
            <w:r>
              <w:t xml:space="preserve"> i 80 pozycji odczynnikowych na pokładzie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18.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Wbudowane czytniki kodów kreskowych dla próbek i odczynników, automatyczne monitorowanie objętości każdego odczynnika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19.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Wszystkie odczynniki , kontrole i kalibratory jednego </w:t>
            </w:r>
            <w:r>
              <w:lastRenderedPageBreak/>
              <w:t>producenta w celu zapewnienia kompatybilności oferowanego asortymentu (dopuszcza się max 2 odczynniki, wraz z dedykowanymi kontrolami i kalibratorami innej firmy)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lastRenderedPageBreak/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20.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Analizatory obsługiwane z poziomu zewnętrznego komputera, dostarczonego wraz z monitorem, laserową drukarką i UPS-em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21.</w:t>
            </w:r>
          </w:p>
          <w:p w:rsidR="00106D38" w:rsidRDefault="00106D38" w:rsidP="00106D38">
            <w:pPr>
              <w:pStyle w:val="Standard"/>
            </w:pPr>
          </w:p>
          <w:p w:rsidR="00106D38" w:rsidRDefault="00106D38" w:rsidP="00106D38">
            <w:pPr>
              <w:pStyle w:val="Standard"/>
              <w:jc w:val="right"/>
            </w:pP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Oferent zapewni na czas kontaktu lodówkę do przechowywania odczynników (wys.120-125cm z uwagi na ograniczoną pow. pomieszczenia)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jc w:val="center"/>
            </w:pPr>
            <w:r>
              <w:t>22.</w:t>
            </w:r>
          </w:p>
        </w:tc>
        <w:tc>
          <w:tcPr>
            <w:tcW w:w="59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Dostosowanie powierzchni pracowni  do zainstalowania oferowanych analizatorów.</w:t>
            </w:r>
          </w:p>
        </w:tc>
        <w:tc>
          <w:tcPr>
            <w:tcW w:w="255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23.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Podłączenie analizatorów do sieci informatycznej LAB3000 na koszt wykonawcy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24.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Oprogramowanie analizatorów w j. polskim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25.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Czas reakcji serwisu do 24h od chwili zgłoszenia, możliwość zdalnego podłączenia serwisu w celu szybszej reakcji.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26.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Bezpłatny koszt przeglądów ( robocizna i dojazd ) w trakcie trwania umowy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27.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Gwarancja na zaoferowane analizatory na czas trwania umowy. Bezpośredni kontakt z inżynierem serwisowym, nie przez infolinię 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28.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Wraz z dostawą aparatów dołączyć do oferty instrukcję używania analizatora w języku polskim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29.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Wbudowany system kontroli jakości codziennej i skumulowanej, liczbowe i graficzne przedstawienie wyników kontroli jakości ( reguły </w:t>
            </w:r>
            <w:proofErr w:type="spellStart"/>
            <w:r>
              <w:t>Levey</w:t>
            </w:r>
            <w:proofErr w:type="spellEnd"/>
            <w:r>
              <w:t xml:space="preserve"> </w:t>
            </w:r>
            <w:proofErr w:type="spellStart"/>
            <w:r>
              <w:t>Jennigsa</w:t>
            </w:r>
            <w:proofErr w:type="spellEnd"/>
            <w:r>
              <w:t xml:space="preserve"> i </w:t>
            </w:r>
            <w:proofErr w:type="spellStart"/>
            <w:r>
              <w:t>Westgarda</w:t>
            </w:r>
            <w:proofErr w:type="spellEnd"/>
            <w:r>
              <w:t xml:space="preserve"> )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30.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Dokumentacja i archiwizacja wyników kontroli jakości oraz krzywych kalibracyjnych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31.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Automatyczne rozcieńczanie i zwiększenie objętości próbki dla badań przekraczających zakres liniowości.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32.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Liniowości:</w:t>
            </w:r>
          </w:p>
          <w:p w:rsidR="00106D38" w:rsidRDefault="00106D38" w:rsidP="00106D38">
            <w:pPr>
              <w:pStyle w:val="Standard"/>
            </w:pPr>
            <w:r>
              <w:lastRenderedPageBreak/>
              <w:t>- ALT  min do 1000 U/L</w:t>
            </w:r>
          </w:p>
          <w:p w:rsidR="00106D38" w:rsidRDefault="00106D38" w:rsidP="00106D38">
            <w:pPr>
              <w:pStyle w:val="Standard"/>
            </w:pPr>
            <w:r>
              <w:t>-AST  min do 1400 U/L</w:t>
            </w:r>
          </w:p>
          <w:p w:rsidR="00106D38" w:rsidRDefault="00106D38" w:rsidP="00106D38">
            <w:pPr>
              <w:pStyle w:val="Standard"/>
            </w:pPr>
            <w:r>
              <w:t>-ALP  min do 1500 U/L</w:t>
            </w:r>
          </w:p>
          <w:p w:rsidR="00106D38" w:rsidRDefault="00106D38" w:rsidP="00106D38">
            <w:pPr>
              <w:pStyle w:val="Standard"/>
            </w:pPr>
            <w:r>
              <w:t>- GGTP min do 950 U/L</w:t>
            </w:r>
          </w:p>
          <w:p w:rsidR="00106D38" w:rsidRDefault="00106D38" w:rsidP="00106D38">
            <w:pPr>
              <w:pStyle w:val="Standard"/>
            </w:pPr>
            <w:r>
              <w:t>- LDH  min do 2000 U/L</w:t>
            </w:r>
          </w:p>
          <w:p w:rsidR="00106D38" w:rsidRDefault="00106D38" w:rsidP="00106D38">
            <w:pPr>
              <w:pStyle w:val="Standard"/>
            </w:pPr>
            <w:r>
              <w:t>- albuminy min do 6,5 g/dl</w:t>
            </w:r>
          </w:p>
          <w:p w:rsidR="00106D38" w:rsidRDefault="00106D38" w:rsidP="00106D38">
            <w:pPr>
              <w:pStyle w:val="Standard"/>
            </w:pPr>
            <w:r>
              <w:t>- białko całkowite min do 19 g/dl</w:t>
            </w:r>
          </w:p>
          <w:p w:rsidR="00106D38" w:rsidRDefault="00106D38" w:rsidP="00106D38">
            <w:pPr>
              <w:pStyle w:val="Standard"/>
            </w:pPr>
            <w:r>
              <w:t>-bilirubiny min do 48 mg/dl</w:t>
            </w:r>
          </w:p>
          <w:p w:rsidR="00106D38" w:rsidRDefault="00106D38" w:rsidP="00106D38">
            <w:pPr>
              <w:pStyle w:val="Standard"/>
            </w:pPr>
            <w:r>
              <w:t>-</w:t>
            </w:r>
            <w:proofErr w:type="spellStart"/>
            <w:r>
              <w:t>triglicerydów</w:t>
            </w:r>
            <w:proofErr w:type="spellEnd"/>
            <w:r>
              <w:t xml:space="preserve"> min do 240 mg/dl</w:t>
            </w:r>
          </w:p>
          <w:p w:rsidR="00106D38" w:rsidRDefault="00106D38" w:rsidP="00106D38">
            <w:pPr>
              <w:pStyle w:val="Standard"/>
            </w:pPr>
            <w:r>
              <w:t>-glukozy min 530 mg/dl</w:t>
            </w:r>
          </w:p>
          <w:p w:rsidR="00106D38" w:rsidRDefault="00106D38" w:rsidP="00106D38">
            <w:pPr>
              <w:pStyle w:val="Standard"/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lastRenderedPageBreak/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33.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Możliwość obliczania wskaźnika lipemii, </w:t>
            </w:r>
            <w:proofErr w:type="spellStart"/>
            <w:r>
              <w:t>ikterii</w:t>
            </w:r>
            <w:proofErr w:type="spellEnd"/>
            <w:r>
              <w:t xml:space="preserve">  oraz hemolizy dla próbek badanych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 xml:space="preserve"> 34.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Minimum  5 punktów serwisowych na terenie kraju / podać nazwę i  adres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</w:pPr>
            <w:r>
              <w:t>TAK - PODAĆ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 xml:space="preserve"> 35.</w:t>
            </w:r>
          </w:p>
          <w:p w:rsidR="00106D38" w:rsidRDefault="00106D38" w:rsidP="00106D38">
            <w:pPr>
              <w:pStyle w:val="Standard"/>
              <w:snapToGrid w:val="0"/>
              <w:jc w:val="right"/>
            </w:pP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 xml:space="preserve">Zapewnienie przez wykonawcę udziału w zew. kontroli jakości </w:t>
            </w:r>
            <w:proofErr w:type="spellStart"/>
            <w:r>
              <w:t>StandLab</w:t>
            </w:r>
            <w:proofErr w:type="spellEnd"/>
            <w:r>
              <w:t xml:space="preserve"> na cały okres trwania kontraktu wraz z automatycznym </w:t>
            </w:r>
            <w:proofErr w:type="spellStart"/>
            <w:r>
              <w:t>przesyłem</w:t>
            </w:r>
            <w:proofErr w:type="spellEnd"/>
            <w:r>
              <w:t xml:space="preserve"> danych.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  <w:tr w:rsidR="00106D38" w:rsidTr="00106D38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  <w:jc w:val="center"/>
            </w:pPr>
            <w:r>
              <w:t>36.</w:t>
            </w:r>
          </w:p>
        </w:tc>
        <w:tc>
          <w:tcPr>
            <w:tcW w:w="5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>Wsparcie merytoryczne i aplikacyjne na cały czas trwania umowy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  <w:r>
              <w:t>TAK</w:t>
            </w:r>
          </w:p>
        </w:tc>
        <w:tc>
          <w:tcPr>
            <w:tcW w:w="6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108" w:type="dxa"/>
            </w:tcMar>
          </w:tcPr>
          <w:p w:rsidR="00106D38" w:rsidRDefault="00106D38" w:rsidP="00106D38">
            <w:pPr>
              <w:pStyle w:val="Standard"/>
              <w:snapToGrid w:val="0"/>
            </w:pPr>
          </w:p>
        </w:tc>
      </w:tr>
    </w:tbl>
    <w:p w:rsidR="00106D38" w:rsidRDefault="00106D38" w:rsidP="00106D38">
      <w:pPr>
        <w:pStyle w:val="Standard"/>
      </w:pPr>
    </w:p>
    <w:p w:rsidR="00106D38" w:rsidRDefault="00106D38" w:rsidP="00106D38">
      <w:pPr>
        <w:pStyle w:val="Standard"/>
      </w:pPr>
      <w:r>
        <w:t>Zaoferowane analizatory są kompletne sprawne i po zainstalowaniu nie wymagają dodatkowych nakładów i zakupów (oprócz odczynników, kontroli, kalibratorów i części zużywalnych wykorzystywanych w codziennej pracy)</w:t>
      </w:r>
    </w:p>
    <w:p w:rsidR="00106D38" w:rsidRDefault="00106D38" w:rsidP="00106D38">
      <w:pPr>
        <w:pStyle w:val="Standard"/>
        <w:rPr>
          <w:b/>
          <w:sz w:val="22"/>
        </w:rPr>
      </w:pPr>
    </w:p>
    <w:p w:rsidR="00106D38" w:rsidRDefault="00106D38" w:rsidP="00106D38">
      <w:pPr>
        <w:pStyle w:val="Standard"/>
      </w:pPr>
      <w:r>
        <w:rPr>
          <w:sz w:val="22"/>
        </w:rPr>
        <w:t>Wartość brutto najmu analizatora głównego</w:t>
      </w:r>
      <w:r>
        <w:rPr>
          <w:sz w:val="22"/>
          <w:vertAlign w:val="superscript"/>
        </w:rPr>
        <w:t>* (okres  24  miesięczny)</w:t>
      </w:r>
    </w:p>
    <w:p w:rsidR="00106D38" w:rsidRDefault="00106D38" w:rsidP="00106D38">
      <w:pPr>
        <w:pStyle w:val="Standard"/>
      </w:pPr>
      <w:r>
        <w:rPr>
          <w:rFonts w:cs="Times New Roman"/>
          <w:sz w:val="22"/>
        </w:rPr>
        <w:t xml:space="preserve"> </w:t>
      </w:r>
      <w:r>
        <w:rPr>
          <w:sz w:val="22"/>
        </w:rPr>
        <w:t>wynosi ........................... zł</w:t>
      </w:r>
    </w:p>
    <w:p w:rsidR="00106D38" w:rsidRDefault="00106D38" w:rsidP="00106D38">
      <w:pPr>
        <w:pStyle w:val="Standard"/>
        <w:rPr>
          <w:sz w:val="22"/>
        </w:rPr>
      </w:pPr>
      <w:r>
        <w:rPr>
          <w:sz w:val="22"/>
        </w:rPr>
        <w:t>słownie: ...........................................................................................................................................</w:t>
      </w:r>
    </w:p>
    <w:p w:rsidR="00106D38" w:rsidRDefault="00106D38" w:rsidP="00106D38">
      <w:pPr>
        <w:pStyle w:val="Standard"/>
        <w:rPr>
          <w:sz w:val="22"/>
        </w:rPr>
      </w:pPr>
      <w:r>
        <w:rPr>
          <w:sz w:val="22"/>
        </w:rPr>
        <w:t>Wartość początkowa urządzenia  wynosi …...........… zł netto plus...% podatek VAT,  łącznie ... zł brutto (słownie: …............ zł).</w:t>
      </w:r>
    </w:p>
    <w:p w:rsidR="00106D38" w:rsidRDefault="00106D38" w:rsidP="00106D38">
      <w:pPr>
        <w:pStyle w:val="Standard"/>
      </w:pPr>
      <w:r>
        <w:rPr>
          <w:sz w:val="22"/>
        </w:rPr>
        <w:t>Wartość brutto najmu analizatora zapasowego</w:t>
      </w:r>
      <w:r>
        <w:rPr>
          <w:sz w:val="22"/>
          <w:vertAlign w:val="superscript"/>
        </w:rPr>
        <w:t>* (okres 24 miesięczny)</w:t>
      </w:r>
    </w:p>
    <w:p w:rsidR="00106D38" w:rsidRDefault="00106D38" w:rsidP="00106D38">
      <w:pPr>
        <w:pStyle w:val="Standard"/>
      </w:pPr>
      <w:r>
        <w:rPr>
          <w:rFonts w:cs="Times New Roman"/>
          <w:sz w:val="22"/>
        </w:rPr>
        <w:t xml:space="preserve"> </w:t>
      </w:r>
      <w:r>
        <w:rPr>
          <w:sz w:val="22"/>
        </w:rPr>
        <w:t>wynosi ........................... zł</w:t>
      </w:r>
    </w:p>
    <w:p w:rsidR="00106D38" w:rsidRDefault="00106D38" w:rsidP="00106D38">
      <w:pPr>
        <w:pStyle w:val="Standard"/>
        <w:rPr>
          <w:sz w:val="22"/>
        </w:rPr>
      </w:pPr>
      <w:r>
        <w:rPr>
          <w:sz w:val="22"/>
        </w:rPr>
        <w:t>słownie: ...........................................................................................................................................</w:t>
      </w:r>
    </w:p>
    <w:p w:rsidR="00106D38" w:rsidRDefault="00106D38" w:rsidP="00106D38">
      <w:pPr>
        <w:pStyle w:val="Standard"/>
        <w:rPr>
          <w:sz w:val="22"/>
        </w:rPr>
      </w:pPr>
      <w:r>
        <w:rPr>
          <w:sz w:val="22"/>
        </w:rPr>
        <w:t>Wartość początkowa urządzeń  wynosi …...........… zł netto plus...% podatek VAT,  łącznie ... zł brut</w:t>
      </w:r>
      <w:r w:rsidR="005D0029">
        <w:rPr>
          <w:sz w:val="22"/>
        </w:rPr>
        <w:t>to (słownie: …............ zł).</w:t>
      </w:r>
    </w:p>
    <w:p w:rsidR="00106D38" w:rsidRDefault="00106D38" w:rsidP="00106D38">
      <w:pPr>
        <w:pStyle w:val="Standard"/>
      </w:pPr>
      <w:r>
        <w:rPr>
          <w:rFonts w:cs="Times New Roman"/>
          <w:sz w:val="22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sz w:val="22"/>
        </w:rPr>
        <w:t>Podpisano</w:t>
      </w:r>
    </w:p>
    <w:p w:rsidR="00382FC6" w:rsidRPr="005D0029" w:rsidRDefault="00106D38" w:rsidP="005D0029">
      <w:pPr>
        <w:pStyle w:val="Standard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                        (upoważniony  przedstawiciel  w</w:t>
      </w:r>
      <w:r w:rsidR="005D0029">
        <w:rPr>
          <w:sz w:val="22"/>
        </w:rPr>
        <w:t>ykonawcy)</w:t>
      </w:r>
      <w:bookmarkStart w:id="0" w:name="_GoBack"/>
      <w:bookmarkEnd w:id="0"/>
    </w:p>
    <w:p w:rsidR="00382FC6" w:rsidRDefault="00382FC6">
      <w:pPr>
        <w:jc w:val="both"/>
      </w:pPr>
    </w:p>
    <w:p w:rsidR="00382FC6" w:rsidRDefault="00382FC6">
      <w:pPr>
        <w:keepNext/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keepNext/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jc w:val="both"/>
      </w:pPr>
    </w:p>
    <w:p w:rsidR="00382FC6" w:rsidRDefault="00382FC6">
      <w:pPr>
        <w:keepNext/>
        <w:tabs>
          <w:tab w:val="left" w:pos="0"/>
        </w:tabs>
        <w:spacing w:line="360" w:lineRule="atLeast"/>
        <w:outlineLvl w:val="3"/>
      </w:pPr>
    </w:p>
    <w:sectPr w:rsidR="00382FC6">
      <w:pgSz w:w="16838" w:h="11906" w:orient="landscape"/>
      <w:pgMar w:top="993" w:right="917" w:bottom="1135" w:left="960" w:header="0" w:footer="708" w:gutter="0"/>
      <w:pgNumType w:start="9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D38" w:rsidRDefault="00106D38">
      <w:r>
        <w:separator/>
      </w:r>
    </w:p>
  </w:endnote>
  <w:endnote w:type="continuationSeparator" w:id="0">
    <w:p w:rsidR="00106D38" w:rsidRDefault="00106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charset w:val="00"/>
    <w:family w:val="auto"/>
    <w:pitch w:val="variable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D38" w:rsidRDefault="00106D38">
      <w:r>
        <w:separator/>
      </w:r>
    </w:p>
  </w:footnote>
  <w:footnote w:type="continuationSeparator" w:id="0">
    <w:p w:rsidR="00106D38" w:rsidRDefault="00106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F3F9F"/>
    <w:multiLevelType w:val="multilevel"/>
    <w:tmpl w:val="D8863860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3211603C"/>
    <w:multiLevelType w:val="hybridMultilevel"/>
    <w:tmpl w:val="65D07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D7DF7"/>
    <w:multiLevelType w:val="multilevel"/>
    <w:tmpl w:val="807C79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BF318CA"/>
    <w:multiLevelType w:val="multilevel"/>
    <w:tmpl w:val="55D402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C6"/>
    <w:rsid w:val="00106D38"/>
    <w:rsid w:val="001B222F"/>
    <w:rsid w:val="001E30AA"/>
    <w:rsid w:val="002937E6"/>
    <w:rsid w:val="003474B5"/>
    <w:rsid w:val="00382FC6"/>
    <w:rsid w:val="003E7910"/>
    <w:rsid w:val="004671FA"/>
    <w:rsid w:val="00485ABB"/>
    <w:rsid w:val="005D0029"/>
    <w:rsid w:val="00671823"/>
    <w:rsid w:val="006F2B83"/>
    <w:rsid w:val="007D7061"/>
    <w:rsid w:val="008D0F84"/>
    <w:rsid w:val="00916203"/>
    <w:rsid w:val="009246F5"/>
    <w:rsid w:val="00981204"/>
    <w:rsid w:val="00A336FE"/>
    <w:rsid w:val="00C210DF"/>
    <w:rsid w:val="00D473E1"/>
    <w:rsid w:val="00E15543"/>
    <w:rsid w:val="00FA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97920-C364-441E-8087-81B61954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89C"/>
    <w:pPr>
      <w:suppressAutoHyphens/>
    </w:pPr>
    <w:rPr>
      <w:rFonts w:ascii="Times New Roman" w:eastAsia="Times New Roman" w:hAnsi="Times New Roman" w:cs="CG Times"/>
      <w:color w:val="00000A"/>
      <w:szCs w:val="20"/>
      <w:lang w:eastAsia="zh-CN"/>
    </w:rPr>
  </w:style>
  <w:style w:type="paragraph" w:styleId="Nagwek2">
    <w:name w:val="heading 2"/>
    <w:basedOn w:val="Normalny"/>
    <w:link w:val="Nagwek2Znak"/>
    <w:qFormat/>
    <w:rsid w:val="00002467"/>
    <w:pPr>
      <w:keepNext/>
      <w:numPr>
        <w:ilvl w:val="1"/>
        <w:numId w:val="1"/>
      </w:numPr>
      <w:spacing w:line="360" w:lineRule="atLeast"/>
      <w:outlineLvl w:val="1"/>
    </w:pPr>
    <w:rPr>
      <w:b/>
      <w:sz w:val="24"/>
    </w:rPr>
  </w:style>
  <w:style w:type="paragraph" w:styleId="Nagwek5">
    <w:name w:val="heading 5"/>
    <w:basedOn w:val="Normalny"/>
    <w:link w:val="Nagwek5Znak"/>
    <w:qFormat/>
    <w:rsid w:val="00002467"/>
    <w:pPr>
      <w:keepNext/>
      <w:numPr>
        <w:ilvl w:val="4"/>
        <w:numId w:val="1"/>
      </w:numPr>
      <w:spacing w:line="360" w:lineRule="atLeast"/>
      <w:outlineLvl w:val="4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3689C"/>
    <w:rPr>
      <w:rFonts w:ascii="Times New Roman" w:eastAsia="Times New Roman" w:hAnsi="Times New Roman" w:cs="CG Times"/>
      <w:i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3EAB"/>
    <w:rPr>
      <w:rFonts w:ascii="Times New Roman" w:eastAsia="Times New Roman" w:hAnsi="Times New Roman" w:cs="CG Times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3EAB"/>
    <w:rPr>
      <w:rFonts w:ascii="Times New Roman" w:eastAsia="Times New Roman" w:hAnsi="Times New Roman" w:cs="CG Times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002467"/>
    <w:rPr>
      <w:rFonts w:ascii="Times New Roman" w:eastAsia="Times New Roman" w:hAnsi="Times New Roman" w:cs="CG Times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002467"/>
    <w:rPr>
      <w:rFonts w:ascii="Times New Roman" w:eastAsia="Times New Roman" w:hAnsi="Times New Roman" w:cs="CG Times"/>
      <w:sz w:val="24"/>
      <w:szCs w:val="20"/>
      <w:lang w:eastAsia="zh-CN"/>
    </w:rPr>
  </w:style>
  <w:style w:type="character" w:customStyle="1" w:styleId="ListLabel1">
    <w:name w:val="ListLabel 1"/>
    <w:qFormat/>
    <w:rPr>
      <w:rFonts w:cs="OpenSymbol, 'Arial Unicode MS'"/>
      <w:sz w:val="24"/>
    </w:rPr>
  </w:style>
  <w:style w:type="character" w:customStyle="1" w:styleId="ListLabel2">
    <w:name w:val="ListLabel 2"/>
    <w:qFormat/>
    <w:rPr>
      <w:rFonts w:cs="OpenSymbol, 'Arial Unicode MS'"/>
    </w:rPr>
  </w:style>
  <w:style w:type="character" w:customStyle="1" w:styleId="ListLabel3">
    <w:name w:val="ListLabel 3"/>
    <w:qFormat/>
    <w:rPr>
      <w:rFonts w:cs="OpenSymbol, 'Arial Unicode MS'"/>
    </w:rPr>
  </w:style>
  <w:style w:type="character" w:customStyle="1" w:styleId="ListLabel4">
    <w:name w:val="ListLabel 4"/>
    <w:qFormat/>
    <w:rPr>
      <w:rFonts w:cs="OpenSymbol, 'Arial Unicode MS'"/>
    </w:rPr>
  </w:style>
  <w:style w:type="character" w:customStyle="1" w:styleId="ListLabel5">
    <w:name w:val="ListLabel 5"/>
    <w:qFormat/>
    <w:rPr>
      <w:rFonts w:cs="OpenSymbol, 'Arial Unicode MS'"/>
    </w:rPr>
  </w:style>
  <w:style w:type="character" w:customStyle="1" w:styleId="ListLabel6">
    <w:name w:val="ListLabel 6"/>
    <w:qFormat/>
    <w:rPr>
      <w:rFonts w:cs="OpenSymbol, 'Arial Unicode MS'"/>
    </w:rPr>
  </w:style>
  <w:style w:type="character" w:customStyle="1" w:styleId="ListLabel7">
    <w:name w:val="ListLabel 7"/>
    <w:qFormat/>
    <w:rPr>
      <w:rFonts w:cs="OpenSymbol, 'Arial Unicode MS'"/>
    </w:rPr>
  </w:style>
  <w:style w:type="character" w:customStyle="1" w:styleId="ListLabel8">
    <w:name w:val="ListLabel 8"/>
    <w:qFormat/>
    <w:rPr>
      <w:rFonts w:cs="OpenSymbol, 'Arial Unicode MS'"/>
    </w:rPr>
  </w:style>
  <w:style w:type="character" w:customStyle="1" w:styleId="ListLabel9">
    <w:name w:val="ListLabel 9"/>
    <w:qFormat/>
    <w:rPr>
      <w:rFonts w:cs="OpenSymbol, 'Arial Unicode MS'"/>
    </w:rPr>
  </w:style>
  <w:style w:type="character" w:customStyle="1" w:styleId="ListLabel10">
    <w:name w:val="ListLabel 10"/>
    <w:qFormat/>
    <w:rPr>
      <w:rFonts w:cs="Symbol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  <w:sz w:val="24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OpenSymbol, 'Arial Unicode MS'"/>
      <w:sz w:val="24"/>
    </w:rPr>
  </w:style>
  <w:style w:type="character" w:customStyle="1" w:styleId="ListLabel29">
    <w:name w:val="ListLabel 29"/>
    <w:qFormat/>
    <w:rPr>
      <w:rFonts w:cs="OpenSymbol, 'Arial Unicode MS'"/>
    </w:rPr>
  </w:style>
  <w:style w:type="character" w:customStyle="1" w:styleId="ListLabel30">
    <w:name w:val="ListLabel 30"/>
    <w:qFormat/>
    <w:rPr>
      <w:rFonts w:cs="OpenSymbol, 'Arial Unicode MS'"/>
    </w:rPr>
  </w:style>
  <w:style w:type="character" w:customStyle="1" w:styleId="ListLabel31">
    <w:name w:val="ListLabel 31"/>
    <w:qFormat/>
    <w:rPr>
      <w:rFonts w:cs="OpenSymbol, 'Arial Unicode MS'"/>
    </w:rPr>
  </w:style>
  <w:style w:type="character" w:customStyle="1" w:styleId="ListLabel32">
    <w:name w:val="ListLabel 32"/>
    <w:qFormat/>
    <w:rPr>
      <w:rFonts w:cs="OpenSymbol, 'Arial Unicode MS'"/>
    </w:rPr>
  </w:style>
  <w:style w:type="character" w:customStyle="1" w:styleId="ListLabel33">
    <w:name w:val="ListLabel 33"/>
    <w:qFormat/>
    <w:rPr>
      <w:rFonts w:cs="OpenSymbol, 'Arial Unicode MS'"/>
    </w:rPr>
  </w:style>
  <w:style w:type="character" w:customStyle="1" w:styleId="ListLabel34">
    <w:name w:val="ListLabel 34"/>
    <w:qFormat/>
    <w:rPr>
      <w:rFonts w:cs="OpenSymbol, 'Arial Unicode MS'"/>
    </w:rPr>
  </w:style>
  <w:style w:type="character" w:customStyle="1" w:styleId="ListLabel35">
    <w:name w:val="ListLabel 35"/>
    <w:qFormat/>
    <w:rPr>
      <w:rFonts w:cs="OpenSymbol, 'Arial Unicode MS'"/>
    </w:rPr>
  </w:style>
  <w:style w:type="character" w:customStyle="1" w:styleId="ListLabel36">
    <w:name w:val="ListLabel 36"/>
    <w:qFormat/>
    <w:rPr>
      <w:rFonts w:cs="OpenSymbol, 'Arial Unicode MS'"/>
    </w:rPr>
  </w:style>
  <w:style w:type="character" w:customStyle="1" w:styleId="ListLabel37">
    <w:name w:val="ListLabel 37"/>
    <w:qFormat/>
    <w:rPr>
      <w:rFonts w:cs="Symbol"/>
      <w:sz w:val="24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  <w:sz w:val="24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OpenSymbol, 'Arial Unicode MS'"/>
      <w:sz w:val="24"/>
    </w:rPr>
  </w:style>
  <w:style w:type="character" w:customStyle="1" w:styleId="ListLabel56">
    <w:name w:val="ListLabel 56"/>
    <w:qFormat/>
    <w:rPr>
      <w:rFonts w:cs="OpenSymbol, 'Arial Unicode MS'"/>
    </w:rPr>
  </w:style>
  <w:style w:type="character" w:customStyle="1" w:styleId="ListLabel57">
    <w:name w:val="ListLabel 57"/>
    <w:qFormat/>
    <w:rPr>
      <w:rFonts w:cs="OpenSymbol, 'Arial Unicode MS'"/>
    </w:rPr>
  </w:style>
  <w:style w:type="character" w:customStyle="1" w:styleId="ListLabel58">
    <w:name w:val="ListLabel 58"/>
    <w:qFormat/>
    <w:rPr>
      <w:rFonts w:cs="OpenSymbol, 'Arial Unicode MS'"/>
    </w:rPr>
  </w:style>
  <w:style w:type="character" w:customStyle="1" w:styleId="ListLabel59">
    <w:name w:val="ListLabel 59"/>
    <w:qFormat/>
    <w:rPr>
      <w:rFonts w:cs="OpenSymbol, 'Arial Unicode MS'"/>
    </w:rPr>
  </w:style>
  <w:style w:type="character" w:customStyle="1" w:styleId="ListLabel60">
    <w:name w:val="ListLabel 60"/>
    <w:qFormat/>
    <w:rPr>
      <w:rFonts w:cs="OpenSymbol, 'Arial Unicode MS'"/>
    </w:rPr>
  </w:style>
  <w:style w:type="character" w:customStyle="1" w:styleId="ListLabel61">
    <w:name w:val="ListLabel 61"/>
    <w:qFormat/>
    <w:rPr>
      <w:rFonts w:cs="OpenSymbol, 'Arial Unicode MS'"/>
    </w:rPr>
  </w:style>
  <w:style w:type="character" w:customStyle="1" w:styleId="ListLabel62">
    <w:name w:val="ListLabel 62"/>
    <w:qFormat/>
    <w:rPr>
      <w:rFonts w:cs="OpenSymbol, 'Arial Unicode MS'"/>
    </w:rPr>
  </w:style>
  <w:style w:type="character" w:customStyle="1" w:styleId="ListLabel63">
    <w:name w:val="ListLabel 63"/>
    <w:qFormat/>
    <w:rPr>
      <w:rFonts w:cs="OpenSymbol, 'Arial Unicode MS'"/>
    </w:rPr>
  </w:style>
  <w:style w:type="character" w:customStyle="1" w:styleId="ListLabel64">
    <w:name w:val="ListLabel 64"/>
    <w:qFormat/>
    <w:rPr>
      <w:rFonts w:cs="Symbol"/>
      <w:sz w:val="24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  <w:sz w:val="24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OpenSymbol, 'Arial Unicode MS'"/>
      <w:sz w:val="24"/>
    </w:rPr>
  </w:style>
  <w:style w:type="character" w:customStyle="1" w:styleId="ListLabel83">
    <w:name w:val="ListLabel 83"/>
    <w:qFormat/>
    <w:rPr>
      <w:rFonts w:cs="OpenSymbol, 'Arial Unicode MS'"/>
    </w:rPr>
  </w:style>
  <w:style w:type="character" w:customStyle="1" w:styleId="ListLabel84">
    <w:name w:val="ListLabel 84"/>
    <w:qFormat/>
    <w:rPr>
      <w:rFonts w:cs="OpenSymbol, 'Arial Unicode MS'"/>
    </w:rPr>
  </w:style>
  <w:style w:type="character" w:customStyle="1" w:styleId="ListLabel85">
    <w:name w:val="ListLabel 85"/>
    <w:qFormat/>
    <w:rPr>
      <w:rFonts w:cs="OpenSymbol, 'Arial Unicode MS'"/>
    </w:rPr>
  </w:style>
  <w:style w:type="character" w:customStyle="1" w:styleId="ListLabel86">
    <w:name w:val="ListLabel 86"/>
    <w:qFormat/>
    <w:rPr>
      <w:rFonts w:cs="OpenSymbol, 'Arial Unicode MS'"/>
    </w:rPr>
  </w:style>
  <w:style w:type="character" w:customStyle="1" w:styleId="ListLabel87">
    <w:name w:val="ListLabel 87"/>
    <w:qFormat/>
    <w:rPr>
      <w:rFonts w:cs="OpenSymbol, 'Arial Unicode MS'"/>
    </w:rPr>
  </w:style>
  <w:style w:type="character" w:customStyle="1" w:styleId="ListLabel88">
    <w:name w:val="ListLabel 88"/>
    <w:qFormat/>
    <w:rPr>
      <w:rFonts w:cs="OpenSymbol, 'Arial Unicode MS'"/>
    </w:rPr>
  </w:style>
  <w:style w:type="character" w:customStyle="1" w:styleId="ListLabel89">
    <w:name w:val="ListLabel 89"/>
    <w:qFormat/>
    <w:rPr>
      <w:rFonts w:cs="OpenSymbol, 'Arial Unicode MS'"/>
    </w:rPr>
  </w:style>
  <w:style w:type="character" w:customStyle="1" w:styleId="ListLabel90">
    <w:name w:val="ListLabel 90"/>
    <w:qFormat/>
    <w:rPr>
      <w:rFonts w:cs="OpenSymbol, 'Arial Unicode MS'"/>
    </w:rPr>
  </w:style>
  <w:style w:type="character" w:customStyle="1" w:styleId="ListLabel91">
    <w:name w:val="ListLabel 91"/>
    <w:qFormat/>
    <w:rPr>
      <w:rFonts w:cs="Symbol"/>
      <w:sz w:val="24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3EA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3689C"/>
    <w:rPr>
      <w:i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qFormat/>
    <w:rsid w:val="00D3689C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3F3EA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rsid w:val="00002467"/>
    <w:pPr>
      <w:spacing w:line="480" w:lineRule="atLeast"/>
    </w:pPr>
    <w:rPr>
      <w:sz w:val="24"/>
    </w:rPr>
  </w:style>
  <w:style w:type="numbering" w:customStyle="1" w:styleId="WW8Num3">
    <w:name w:val="WW8Num3"/>
    <w:qFormat/>
    <w:rsid w:val="00251782"/>
  </w:style>
  <w:style w:type="numbering" w:customStyle="1" w:styleId="WW8Num4">
    <w:name w:val="WW8Num4"/>
    <w:qFormat/>
    <w:rsid w:val="00251782"/>
  </w:style>
  <w:style w:type="numbering" w:customStyle="1" w:styleId="WW8Num5">
    <w:name w:val="WW8Num5"/>
    <w:qFormat/>
    <w:rsid w:val="00251782"/>
  </w:style>
  <w:style w:type="table" w:styleId="Tabela-Siatka">
    <w:name w:val="Table Grid"/>
    <w:basedOn w:val="Standardowy"/>
    <w:uiPriority w:val="39"/>
    <w:rsid w:val="00723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36FE"/>
    <w:pPr>
      <w:ind w:left="720"/>
      <w:contextualSpacing/>
    </w:pPr>
  </w:style>
  <w:style w:type="paragraph" w:customStyle="1" w:styleId="Standard">
    <w:name w:val="Standard"/>
    <w:rsid w:val="0091620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Num2">
    <w:name w:val="WWNum2"/>
    <w:basedOn w:val="Bezlisty"/>
    <w:rsid w:val="00916203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1553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Izdebska</dc:creator>
  <cp:lastModifiedBy>Ewa Izdebska</cp:lastModifiedBy>
  <cp:revision>10</cp:revision>
  <cp:lastPrinted>2024-01-10T09:13:00Z</cp:lastPrinted>
  <dcterms:created xsi:type="dcterms:W3CDTF">2020-12-07T11:57:00Z</dcterms:created>
  <dcterms:modified xsi:type="dcterms:W3CDTF">2026-01-14T12:48:00Z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